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404" w:rsidRDefault="00D25404" w:rsidP="00D25404">
      <w:pPr>
        <w:tabs>
          <w:tab w:val="left" w:pos="8715"/>
        </w:tabs>
      </w:pPr>
    </w:p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D25404" w:rsidTr="00AE3DFC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D25404" w:rsidRDefault="00D25404" w:rsidP="00AE3DFC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D25404" w:rsidRDefault="00D25404" w:rsidP="00AE3DFC">
            <w:pPr>
              <w:pStyle w:val="Sinespaciado"/>
            </w:pPr>
          </w:p>
        </w:tc>
      </w:tr>
      <w:tr w:rsidR="00D25404" w:rsidTr="00AE3DFC">
        <w:tc>
          <w:tcPr>
            <w:tcW w:w="1774" w:type="pct"/>
            <w:shd w:val="clear" w:color="auto" w:fill="FFFFFF" w:themeFill="background1"/>
          </w:tcPr>
          <w:p w:rsidR="00D25404" w:rsidRDefault="00D25404" w:rsidP="00AE3DFC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D25404" w:rsidRDefault="00D25404" w:rsidP="00AE3DFC">
            <w:pPr>
              <w:pStyle w:val="Espaciodetablas"/>
            </w:pPr>
          </w:p>
        </w:tc>
      </w:tr>
      <w:tr w:rsidR="00D25404" w:rsidTr="00AE3DFC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D25404" w:rsidRDefault="00D25404" w:rsidP="00AE3DFC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D25404" w:rsidRDefault="00D25404" w:rsidP="00AE3DFC">
            <w:pPr>
              <w:pStyle w:val="MesAo"/>
              <w:jc w:val="left"/>
            </w:pPr>
            <w:r>
              <w:rPr>
                <w:rStyle w:val="Mes"/>
              </w:rPr>
              <w:t xml:space="preserve">Marzo </w:t>
            </w:r>
            <w:r>
              <w:t>2019</w:t>
            </w:r>
          </w:p>
        </w:tc>
      </w:tr>
      <w:tr w:rsidR="00D25404" w:rsidTr="00AE3DFC">
        <w:tc>
          <w:tcPr>
            <w:tcW w:w="1774" w:type="pct"/>
            <w:shd w:val="clear" w:color="auto" w:fill="FFFFFF" w:themeFill="background1"/>
          </w:tcPr>
          <w:p w:rsidR="00D25404" w:rsidRDefault="00D25404" w:rsidP="00AE3DFC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D25404" w:rsidRDefault="00D25404" w:rsidP="00AE3DFC">
            <w:pPr>
              <w:pStyle w:val="Espaciodetablas"/>
            </w:pPr>
          </w:p>
        </w:tc>
      </w:tr>
      <w:tr w:rsidR="00D25404" w:rsidTr="00AE3DFC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D25404" w:rsidRDefault="00D25404" w:rsidP="00AE3DFC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D25404" w:rsidRDefault="00D25404" w:rsidP="00AE3DFC">
            <w:pPr>
              <w:pStyle w:val="Sinespaciado"/>
            </w:pPr>
          </w:p>
        </w:tc>
      </w:tr>
    </w:tbl>
    <w:tbl>
      <w:tblPr>
        <w:tblStyle w:val="CalendarioAcento2"/>
        <w:tblW w:w="5122" w:type="pct"/>
        <w:tblInd w:w="-5" w:type="dxa"/>
        <w:tblLook w:val="04A0"/>
      </w:tblPr>
      <w:tblGrid>
        <w:gridCol w:w="1505"/>
        <w:gridCol w:w="1295"/>
        <w:gridCol w:w="1295"/>
        <w:gridCol w:w="1295"/>
        <w:gridCol w:w="1295"/>
        <w:gridCol w:w="1295"/>
        <w:gridCol w:w="1295"/>
      </w:tblGrid>
      <w:tr w:rsidR="00D25404" w:rsidTr="00AE3DFC">
        <w:trPr>
          <w:cnfStyle w:val="100000000000"/>
          <w:trHeight w:hRule="exact" w:val="576"/>
        </w:trPr>
        <w:tc>
          <w:tcPr>
            <w:tcW w:w="812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lun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mar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mié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jue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vie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sáb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Das"/>
            </w:pPr>
            <w:proofErr w:type="gramStart"/>
            <w:r>
              <w:rPr>
                <w:rFonts w:ascii="Calibri" w:hAnsi="Calibri"/>
                <w:color w:val="FFFFFF"/>
              </w:rPr>
              <w:t>dom</w:t>
            </w:r>
            <w:proofErr w:type="gramEnd"/>
            <w:r>
              <w:rPr>
                <w:rFonts w:ascii="Calibri" w:hAnsi="Calibri"/>
                <w:color w:val="FFFFFF"/>
              </w:rPr>
              <w:t>.</w:t>
            </w:r>
          </w:p>
        </w:tc>
      </w:tr>
      <w:tr w:rsidR="00D25404" w:rsidTr="00AE3DFC">
        <w:trPr>
          <w:cnfStyle w:val="000000100000"/>
          <w:trHeight w:hRule="exact" w:val="475"/>
        </w:trPr>
        <w:tc>
          <w:tcPr>
            <w:tcW w:w="812" w:type="pct"/>
          </w:tcPr>
          <w:p w:rsidR="00D25404" w:rsidRDefault="00D25404" w:rsidP="00AE3DFC">
            <w:pPr>
              <w:pStyle w:val="Fechas"/>
            </w:pPr>
          </w:p>
          <w:p w:rsidR="00D25404" w:rsidRDefault="00D25404" w:rsidP="00AE3DFC">
            <w:pPr>
              <w:pStyle w:val="Fechas"/>
            </w:pP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3</w:t>
            </w:r>
          </w:p>
        </w:tc>
      </w:tr>
      <w:tr w:rsidR="00D25404" w:rsidTr="00AE3DFC">
        <w:trPr>
          <w:cnfStyle w:val="000000010000"/>
          <w:trHeight w:hRule="exact" w:val="1008"/>
        </w:trPr>
        <w:tc>
          <w:tcPr>
            <w:tcW w:w="812" w:type="pct"/>
          </w:tcPr>
          <w:p w:rsidR="00D25404" w:rsidRDefault="00D25404" w:rsidP="00AE3DFC"/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</w:tr>
      <w:tr w:rsidR="00D25404" w:rsidTr="00AE3DFC">
        <w:trPr>
          <w:cnfStyle w:val="000000100000"/>
          <w:trHeight w:hRule="exact" w:val="432"/>
        </w:trPr>
        <w:tc>
          <w:tcPr>
            <w:tcW w:w="812" w:type="pct"/>
          </w:tcPr>
          <w:p w:rsidR="00D25404" w:rsidRDefault="00D25404" w:rsidP="00AE3DFC">
            <w:pPr>
              <w:pStyle w:val="Fechas"/>
            </w:pPr>
            <w:r>
              <w:t>4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5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6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7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8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9</w:t>
            </w:r>
          </w:p>
          <w:p w:rsidR="00D25404" w:rsidRDefault="00D25404" w:rsidP="00AE3DFC">
            <w:pPr>
              <w:pStyle w:val="Fechas"/>
            </w:pP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10</w:t>
            </w:r>
          </w:p>
        </w:tc>
      </w:tr>
      <w:tr w:rsidR="00D25404" w:rsidTr="00AE3DFC">
        <w:trPr>
          <w:cnfStyle w:val="000000010000"/>
          <w:trHeight w:hRule="exact" w:val="1008"/>
        </w:trPr>
        <w:tc>
          <w:tcPr>
            <w:tcW w:w="812" w:type="pct"/>
          </w:tcPr>
          <w:p w:rsidR="00D25404" w:rsidRDefault="00D25404" w:rsidP="00D25404">
            <w:r>
              <w:t xml:space="preserve">Trabajo de oficina. </w:t>
            </w:r>
          </w:p>
          <w:p w:rsidR="00D25404" w:rsidRDefault="00D25404" w:rsidP="00D25404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</w:tr>
      <w:tr w:rsidR="00D25404" w:rsidTr="00AE3DFC">
        <w:trPr>
          <w:cnfStyle w:val="000000100000"/>
          <w:trHeight w:hRule="exact" w:val="432"/>
        </w:trPr>
        <w:tc>
          <w:tcPr>
            <w:tcW w:w="812" w:type="pct"/>
          </w:tcPr>
          <w:p w:rsidR="00D25404" w:rsidRDefault="00D25404" w:rsidP="00AE3DFC">
            <w:pPr>
              <w:pStyle w:val="Fechas"/>
            </w:pPr>
            <w:r>
              <w:t>11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12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13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14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15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16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17</w:t>
            </w:r>
          </w:p>
        </w:tc>
      </w:tr>
      <w:tr w:rsidR="00D25404" w:rsidTr="00AE3DFC">
        <w:trPr>
          <w:cnfStyle w:val="000000010000"/>
          <w:trHeight w:hRule="exact" w:val="1008"/>
        </w:trPr>
        <w:tc>
          <w:tcPr>
            <w:tcW w:w="812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D25404">
            <w:r>
              <w:t xml:space="preserve">Trabajo de oficina. </w:t>
            </w:r>
          </w:p>
          <w:p w:rsidR="00D25404" w:rsidRDefault="00D25404" w:rsidP="00D25404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>Primera rodada nocturna.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</w:tr>
      <w:tr w:rsidR="00D25404" w:rsidTr="00AE3DFC">
        <w:trPr>
          <w:cnfStyle w:val="000000100000"/>
          <w:trHeight w:hRule="exact" w:val="432"/>
        </w:trPr>
        <w:tc>
          <w:tcPr>
            <w:tcW w:w="812" w:type="pct"/>
          </w:tcPr>
          <w:p w:rsidR="00D25404" w:rsidRDefault="00D25404" w:rsidP="00AE3DFC">
            <w:pPr>
              <w:pStyle w:val="Fechas"/>
            </w:pPr>
            <w:r>
              <w:t>18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19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20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21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22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23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24</w:t>
            </w:r>
          </w:p>
        </w:tc>
      </w:tr>
      <w:tr w:rsidR="00D25404" w:rsidTr="00AE3DFC">
        <w:trPr>
          <w:cnfStyle w:val="000000010000"/>
          <w:trHeight w:hRule="exact" w:val="1008"/>
        </w:trPr>
        <w:tc>
          <w:tcPr>
            <w:tcW w:w="812" w:type="pct"/>
          </w:tcPr>
          <w:p w:rsidR="00D25404" w:rsidRDefault="00D25404" w:rsidP="00AE3DFC">
            <w:r>
              <w:t xml:space="preserve">Aniversario expropiación petrolera. 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D25404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D25404">
            <w:r>
              <w:t>Trabajo de oficina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  <w:tc>
          <w:tcPr>
            <w:tcW w:w="698" w:type="pct"/>
          </w:tcPr>
          <w:p w:rsidR="00D25404" w:rsidRDefault="00D25404" w:rsidP="00AE3DFC">
            <w:r>
              <w:t xml:space="preserve">Día inhábil. </w:t>
            </w:r>
          </w:p>
        </w:tc>
      </w:tr>
      <w:tr w:rsidR="00D25404" w:rsidTr="00AE3DFC">
        <w:trPr>
          <w:cnfStyle w:val="000000100000"/>
          <w:trHeight w:hRule="exact" w:val="432"/>
        </w:trPr>
        <w:tc>
          <w:tcPr>
            <w:tcW w:w="812" w:type="pct"/>
          </w:tcPr>
          <w:p w:rsidR="00D25404" w:rsidRDefault="00D25404" w:rsidP="00AE3DFC">
            <w:pPr>
              <w:pStyle w:val="Fechas"/>
            </w:pPr>
            <w:r>
              <w:t>25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26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27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28</w:t>
            </w:r>
            <w:r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29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30</w:t>
            </w:r>
          </w:p>
        </w:tc>
        <w:tc>
          <w:tcPr>
            <w:tcW w:w="698" w:type="pct"/>
          </w:tcPr>
          <w:p w:rsidR="00D25404" w:rsidRDefault="00D25404" w:rsidP="00AE3DFC">
            <w:pPr>
              <w:pStyle w:val="Fechas"/>
            </w:pPr>
            <w:r>
              <w:t>31</w:t>
            </w:r>
          </w:p>
        </w:tc>
      </w:tr>
      <w:tr w:rsidR="00D25404" w:rsidTr="00AE3DFC">
        <w:trPr>
          <w:cnfStyle w:val="000000010000"/>
          <w:trHeight w:hRule="exact" w:val="1008"/>
        </w:trPr>
        <w:tc>
          <w:tcPr>
            <w:tcW w:w="812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D25404">
            <w:r>
              <w:t xml:space="preserve">Trabajo de oficina. </w:t>
            </w:r>
          </w:p>
          <w:p w:rsidR="00D25404" w:rsidRDefault="00D25404" w:rsidP="00AE3DFC"/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  <w:tc>
          <w:tcPr>
            <w:tcW w:w="698" w:type="pct"/>
          </w:tcPr>
          <w:p w:rsidR="00D25404" w:rsidRDefault="00D25404" w:rsidP="00AE3DFC">
            <w:r>
              <w:t>Día inhábil.</w:t>
            </w:r>
          </w:p>
        </w:tc>
      </w:tr>
      <w:tr w:rsidR="00D25404" w:rsidTr="00AE3DFC">
        <w:trPr>
          <w:cnfStyle w:val="000000100000"/>
          <w:trHeight w:hRule="exact" w:val="1008"/>
        </w:trPr>
        <w:tc>
          <w:tcPr>
            <w:tcW w:w="812" w:type="pct"/>
          </w:tcPr>
          <w:p w:rsidR="00D25404" w:rsidRPr="00786B78" w:rsidRDefault="00D25404" w:rsidP="00AE3DF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</w:tr>
      <w:tr w:rsidR="00D25404" w:rsidTr="00AE3DFC">
        <w:trPr>
          <w:cnfStyle w:val="000000010000"/>
          <w:trHeight w:hRule="exact" w:val="80"/>
        </w:trPr>
        <w:tc>
          <w:tcPr>
            <w:tcW w:w="812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  <w:tc>
          <w:tcPr>
            <w:tcW w:w="698" w:type="pct"/>
          </w:tcPr>
          <w:p w:rsidR="00D25404" w:rsidRDefault="00D25404" w:rsidP="00AE3DFC"/>
        </w:tc>
      </w:tr>
    </w:tbl>
    <w:p w:rsidR="00D25404" w:rsidRDefault="00D25404" w:rsidP="00D25404"/>
    <w:p w:rsidR="00D25404" w:rsidRDefault="00D25404" w:rsidP="00D25404">
      <w:r>
        <w:t xml:space="preserve">Agenda del mes de Marzo 2019, Reportando la oficina de deportes </w:t>
      </w:r>
    </w:p>
    <w:p w:rsidR="00D25404" w:rsidRDefault="00D25404" w:rsidP="00D25404"/>
    <w:p w:rsidR="00F81C3D" w:rsidRDefault="00F81C3D"/>
    <w:sectPr w:rsidR="00F81C3D" w:rsidSect="00F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5404"/>
    <w:rsid w:val="00334C8F"/>
    <w:rsid w:val="003C44D7"/>
    <w:rsid w:val="004A6F29"/>
    <w:rsid w:val="00591554"/>
    <w:rsid w:val="006B163D"/>
    <w:rsid w:val="007441BC"/>
    <w:rsid w:val="00B8260C"/>
    <w:rsid w:val="00C53EA9"/>
    <w:rsid w:val="00D25404"/>
    <w:rsid w:val="00E46769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404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D25404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D25404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D25404"/>
    <w:pPr>
      <w:spacing w:after="240"/>
      <w:jc w:val="center"/>
    </w:pPr>
    <w:rPr>
      <w:color w:val="943634" w:themeColor="accent2" w:themeShade="BF"/>
      <w:sz w:val="72"/>
    </w:rPr>
  </w:style>
  <w:style w:type="paragraph" w:styleId="Sinespaciado">
    <w:name w:val="No Spacing"/>
    <w:uiPriority w:val="1"/>
    <w:rsid w:val="00D25404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Espaciodetablas">
    <w:name w:val="Espacio de tablas"/>
    <w:basedOn w:val="Normal"/>
    <w:uiPriority w:val="99"/>
    <w:rsid w:val="00D25404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D25404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D25404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404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404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IMMT</dc:creator>
  <cp:lastModifiedBy>IMMT</cp:lastModifiedBy>
  <cp:revision>1</cp:revision>
  <dcterms:created xsi:type="dcterms:W3CDTF">2019-12-17T18:05:00Z</dcterms:created>
  <dcterms:modified xsi:type="dcterms:W3CDTF">2019-12-17T18:14:00Z</dcterms:modified>
</cp:coreProperties>
</file>