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325A7">
        <w:trPr>
          <w:cantSplit/>
          <w:tblHeader/>
          <w:jc w:val="center"/>
        </w:trPr>
        <w:tc>
          <w:tcPr>
            <w:tcW w:w="146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25A7" w:rsidRDefault="006325A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7304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25A7" w:rsidRDefault="00FC6C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>
              <w:rPr>
                <w:rFonts w:ascii="Arial" w:hAnsi="Arial" w:cs="Arial"/>
                <w:b/>
                <w:color w:val="25478B"/>
                <w:sz w:val="32"/>
              </w:rPr>
              <w:t>Enero</w:t>
            </w:r>
            <w:proofErr w:type="spellEnd"/>
            <w:r>
              <w:rPr>
                <w:rFonts w:ascii="Arial" w:hAnsi="Arial" w:cs="Arial"/>
                <w:b/>
                <w:color w:val="25478B"/>
                <w:sz w:val="32"/>
              </w:rPr>
              <w:t xml:space="preserve"> 2020</w:t>
            </w:r>
          </w:p>
        </w:tc>
        <w:tc>
          <w:tcPr>
            <w:tcW w:w="146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25A7" w:rsidRDefault="006325A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Enero_2020"/>
          </w:p>
        </w:tc>
      </w:tr>
      <w:bookmarkEnd w:id="1"/>
      <w:tr w:rsidR="006325A7">
        <w:trPr>
          <w:cantSplit/>
          <w:tblHeader/>
          <w:jc w:val="center"/>
        </w:trPr>
        <w:tc>
          <w:tcPr>
            <w:tcW w:w="146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1462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146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25A7" w:rsidRDefault="00FC6C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6325A7">
        <w:trPr>
          <w:cantSplit/>
          <w:trHeight w:val="1944"/>
          <w:jc w:val="center"/>
        </w:trPr>
        <w:tc>
          <w:tcPr>
            <w:tcW w:w="1460" w:type="dxa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25A7" w:rsidRDefault="00632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25A7" w:rsidRDefault="00632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25A7" w:rsidRDefault="00632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2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0" w:type="dxa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  <w:lang w:val="es-MX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6325A7">
        <w:trPr>
          <w:cantSplit/>
          <w:trHeight w:val="19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6D3A5C" w:rsidRPr="00D91F22" w:rsidRDefault="006D3A5C" w:rsidP="006D3A5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6325A7" w:rsidRDefault="006D3A5C" w:rsidP="006D3A5C">
            <w:pPr>
              <w:pStyle w:val="CalendarText"/>
              <w:rPr>
                <w:rStyle w:val="WinCalendarBLANKCELLSTYLE0"/>
              </w:rPr>
            </w:pPr>
            <w:r w:rsidRPr="00D91F22">
              <w:rPr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6D3A5C" w:rsidRPr="00D91F22" w:rsidRDefault="006D3A5C" w:rsidP="006D3A5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6325A7" w:rsidRDefault="006D3A5C" w:rsidP="006D3A5C">
            <w:pPr>
              <w:pStyle w:val="CalendarText"/>
              <w:rPr>
                <w:rStyle w:val="WinCalendarBLANKCELLSTYLE0"/>
              </w:rPr>
            </w:pPr>
            <w:r w:rsidRPr="00D91F22">
              <w:rPr>
                <w:szCs w:val="20"/>
              </w:rPr>
              <w:t>* Asesoría al público en general</w:t>
            </w:r>
            <w:r>
              <w:rPr>
                <w:szCs w:val="20"/>
              </w:rPr>
              <w:br/>
            </w:r>
            <w:r w:rsidRPr="00D91F22">
              <w:rPr>
                <w:szCs w:val="20"/>
              </w:rPr>
              <w:t xml:space="preserve">*Seguimiento  de asuntos en </w:t>
            </w:r>
            <w:r>
              <w:rPr>
                <w:szCs w:val="20"/>
              </w:rPr>
              <w:t xml:space="preserve">el </w:t>
            </w:r>
            <w:r w:rsidRPr="00D91F22">
              <w:rPr>
                <w:szCs w:val="20"/>
              </w:rPr>
              <w:t xml:space="preserve">Tribunal de </w:t>
            </w:r>
            <w:r>
              <w:rPr>
                <w:szCs w:val="20"/>
              </w:rPr>
              <w:t xml:space="preserve">Justicia </w:t>
            </w:r>
            <w:r>
              <w:rPr>
                <w:szCs w:val="20"/>
              </w:rPr>
              <w:t>Administrativa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0</w:t>
            </w:r>
            <w:r>
              <w:rPr>
                <w:rStyle w:val="WinCalendarHolidayBlue"/>
              </w:rPr>
              <w:t xml:space="preserve"> </w:t>
            </w:r>
          </w:p>
          <w:p w:rsidR="006D3A5C" w:rsidRPr="00D91F22" w:rsidRDefault="006D3A5C" w:rsidP="006D3A5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6325A7" w:rsidRDefault="006D3A5C" w:rsidP="006D3A5C">
            <w:pPr>
              <w:pStyle w:val="CalendarText"/>
              <w:rPr>
                <w:rStyle w:val="WinCalendarBLANKCELLSTYLE0"/>
              </w:rPr>
            </w:pPr>
            <w:r w:rsidRPr="00D91F22">
              <w:rPr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6325A7">
        <w:trPr>
          <w:cantSplit/>
          <w:trHeight w:val="19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8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6325A7">
        <w:trPr>
          <w:cantSplit/>
          <w:trHeight w:val="19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19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</w:t>
            </w:r>
            <w:bookmarkStart w:id="2" w:name="_GoBack"/>
            <w:bookmarkEnd w:id="2"/>
            <w:r w:rsidRPr="002C650C">
              <w:rPr>
                <w:b/>
                <w:color w:val="FF0000"/>
                <w:sz w:val="22"/>
                <w:szCs w:val="20"/>
              </w:rPr>
              <w:t xml:space="preserve"> inhábil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5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6325A7">
        <w:trPr>
          <w:cantSplit/>
          <w:trHeight w:val="1944"/>
          <w:jc w:val="center"/>
        </w:trPr>
        <w:tc>
          <w:tcPr>
            <w:tcW w:w="1460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25A7" w:rsidRDefault="00FC6CDA" w:rsidP="006D3A5C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D3A5C" w:rsidRDefault="006D3A5C" w:rsidP="006D3A5C">
            <w:pPr>
              <w:pStyle w:val="CalendarText"/>
              <w:jc w:val="center"/>
              <w:rPr>
                <w:b/>
                <w:color w:val="FF0000"/>
                <w:sz w:val="22"/>
                <w:szCs w:val="20"/>
              </w:rPr>
            </w:pPr>
          </w:p>
          <w:p w:rsidR="006325A7" w:rsidRDefault="006D3A5C" w:rsidP="006D3A5C">
            <w:pPr>
              <w:pStyle w:val="CalendarText"/>
              <w:jc w:val="center"/>
              <w:rPr>
                <w:rStyle w:val="WinCalendarBLANKCELLSTYLE0"/>
              </w:rPr>
            </w:pPr>
            <w:r w:rsidRPr="002C650C">
              <w:rPr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146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0</w:t>
            </w:r>
            <w:r>
              <w:rPr>
                <w:rStyle w:val="WinCalendarHolidayBlue"/>
              </w:rPr>
              <w:t xml:space="preserve"> </w:t>
            </w:r>
          </w:p>
          <w:p w:rsidR="006D3A5C" w:rsidRPr="00D91F22" w:rsidRDefault="006D3A5C" w:rsidP="006D3A5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25A7" w:rsidRDefault="00FC6C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6325A7" w:rsidRPr="006D3A5C" w:rsidRDefault="006D3A5C" w:rsidP="006D3A5C">
            <w:pPr>
              <w:rPr>
                <w:rStyle w:val="WinCalendarBLANKCELLSTYLE0"/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1460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25A7" w:rsidRDefault="006325A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:rsidR="006325A7" w:rsidRDefault="006325A7"/>
    <w:sectPr w:rsidR="006325A7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DA" w:rsidRDefault="00FC6CDA">
      <w:pPr>
        <w:spacing w:after="0" w:line="240" w:lineRule="auto"/>
      </w:pPr>
      <w:r>
        <w:separator/>
      </w:r>
    </w:p>
  </w:endnote>
  <w:endnote w:type="continuationSeparator" w:id="0">
    <w:p w:rsidR="00FC6CDA" w:rsidRDefault="00FC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aco">
    <w:altName w:val="AMGDT"/>
    <w:charset w:val="00"/>
    <w:family w:val="auto"/>
    <w:pitch w:val="default"/>
  </w:font>
  <w:font w:name="monospace">
    <w:altName w:val="AMGD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DA" w:rsidRDefault="00FC6CDA">
      <w:pPr>
        <w:spacing w:after="0" w:line="240" w:lineRule="auto"/>
      </w:pPr>
      <w:r>
        <w:separator/>
      </w:r>
    </w:p>
  </w:footnote>
  <w:footnote w:type="continuationSeparator" w:id="0">
    <w:p w:rsidR="00FC6CDA" w:rsidRDefault="00FC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5A7" w:rsidRDefault="00FC6CDA">
    <w:pPr>
      <w:ind w:right="-72"/>
      <w:jc w:val="center"/>
    </w:pPr>
    <w:r>
      <w:rPr>
        <w:rFonts w:ascii="SimSun" w:eastAsia="SimSun" w:hAnsi="SimSun" w:cs="SimSun"/>
        <w:sz w:val="24"/>
        <w:szCs w:val="24"/>
      </w:rPr>
      <w:fldChar w:fldCharType="begin"/>
    </w:r>
    <w:r>
      <w:rPr>
        <w:rFonts w:ascii="SimSun" w:eastAsia="SimSun" w:hAnsi="SimSun" w:cs="SimSun"/>
        <w:sz w:val="24"/>
        <w:szCs w:val="24"/>
      </w:rPr>
      <w:instrText xml:space="preserve">INCLUDEPICTURE \d "http://www.teocaltiche.gob.mx/wp-content/uploads/2018/10/Logo-doble-2018-011.jpg" \* MERGEFORMATINET </w:instrText>
    </w:r>
    <w:r>
      <w:rPr>
        <w:rFonts w:ascii="SimSun" w:eastAsia="SimSun" w:hAnsi="SimSun" w:cs="SimSun"/>
        <w:sz w:val="24"/>
        <w:szCs w:val="24"/>
      </w:rPr>
      <w:fldChar w:fldCharType="separate"/>
    </w:r>
    <w:r>
      <w:rPr>
        <w:rFonts w:ascii="SimSun" w:eastAsia="SimSun" w:hAnsi="SimSun" w:cs="SimSun"/>
        <w:noProof/>
        <w:sz w:val="24"/>
        <w:szCs w:val="24"/>
        <w:lang w:val="es-MX" w:eastAsia="es-MX"/>
      </w:rPr>
      <w:drawing>
        <wp:inline distT="0" distB="0" distL="114300" distR="114300">
          <wp:extent cx="6272530" cy="1287145"/>
          <wp:effectExtent l="0" t="0" r="6350" b="8255"/>
          <wp:docPr id="1" name="Picture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72530" cy="12871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SimSun" w:eastAsia="SimSun" w:hAnsi="SimSun" w:cs="SimSun"/>
        <w:sz w:val="24"/>
        <w:szCs w:val="24"/>
      </w:rPr>
      <w:fldChar w:fldCharType="end"/>
    </w:r>
  </w:p>
  <w:p w:rsidR="006325A7" w:rsidRDefault="00FC6CDA">
    <w:pPr>
      <w:pStyle w:val="Encabezado"/>
      <w:jc w:val="both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>
      <w:rPr>
        <w:rFonts w:ascii="Courier New" w:hAnsi="Courier New" w:cs="Courier New"/>
        <w:b/>
        <w:bCs/>
        <w:color w:val="0070C0"/>
        <w:sz w:val="36"/>
        <w:szCs w:val="36"/>
        <w:lang w:val="es-MX"/>
      </w:rPr>
      <w:t xml:space="preserve">Actividades mensuales relacionadas a las actividades del </w:t>
    </w:r>
    <w:r>
      <w:rPr>
        <w:rFonts w:ascii="Courier New" w:hAnsi="Courier New" w:cs="Courier New"/>
        <w:b/>
        <w:bCs/>
        <w:color w:val="0070C0"/>
        <w:sz w:val="36"/>
        <w:szCs w:val="36"/>
        <w:lang w:val="es-MX"/>
      </w:rPr>
      <w:t>área:</w:t>
    </w:r>
    <w:r>
      <w:rPr>
        <w:rFonts w:ascii="Courier New" w:hAnsi="Courier New" w:cs="Courier New"/>
        <w:sz w:val="32"/>
        <w:szCs w:val="32"/>
        <w:lang w:val="es-MX"/>
      </w:rPr>
      <w:t xml:space="preserve"> </w:t>
    </w:r>
    <w:r w:rsidR="006D3A5C" w:rsidRPr="006D3A5C">
      <w:rPr>
        <w:rFonts w:ascii="Courier New" w:hAnsi="Courier New" w:cs="Courier New"/>
        <w:sz w:val="32"/>
        <w:szCs w:val="32"/>
        <w:lang w:val="es-MX"/>
      </w:rPr>
      <w:t>Dirección Jurídica</w:t>
    </w:r>
  </w:p>
  <w:p w:rsidR="006325A7" w:rsidRDefault="00FC6CDA">
    <w:pPr>
      <w:pStyle w:val="Encabezado"/>
      <w:jc w:val="center"/>
      <w:rPr>
        <w:rFonts w:ascii="Courier New" w:hAnsi="Courier New" w:cs="Courier New"/>
        <w:color w:val="AEAAAA" w:themeColor="background2" w:themeShade="BF"/>
        <w:sz w:val="32"/>
        <w:szCs w:val="32"/>
        <w:lang w:val="es-MX"/>
      </w:rPr>
    </w:pPr>
    <w:r w:rsidRPr="006D3A5C">
      <w:rPr>
        <w:rFonts w:ascii="Courier New" w:hAnsi="Courier New" w:cs="Courier New"/>
        <w:color w:val="2E74B5" w:themeColor="accent1" w:themeShade="BF"/>
        <w:sz w:val="32"/>
        <w:szCs w:val="32"/>
        <w:lang w:val="es-MX"/>
      </w:rPr>
      <w:t>Nombre del encargado:</w:t>
    </w:r>
    <w:r w:rsidR="006D3A5C" w:rsidRPr="006D3A5C">
      <w:rPr>
        <w:rFonts w:ascii="Courier New" w:hAnsi="Courier New" w:cs="Courier New"/>
        <w:color w:val="2E74B5" w:themeColor="accent1" w:themeShade="BF"/>
        <w:sz w:val="32"/>
        <w:szCs w:val="32"/>
        <w:lang w:val="es-MX"/>
      </w:rPr>
      <w:t xml:space="preserve"> </w:t>
    </w:r>
    <w:r w:rsidR="006D3A5C" w:rsidRPr="006D3A5C">
      <w:rPr>
        <w:rFonts w:ascii="Courier New" w:hAnsi="Courier New" w:cs="Courier New"/>
        <w:sz w:val="32"/>
        <w:szCs w:val="32"/>
        <w:lang w:val="es-MX"/>
      </w:rPr>
      <w:t>Lic. Cynthia Paola Martínez Famoso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E67F42"/>
    <w:rsid w:val="006325A7"/>
    <w:rsid w:val="006D3A5C"/>
    <w:rsid w:val="00FC6CDA"/>
    <w:rsid w:val="159D0C82"/>
    <w:rsid w:val="20E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4F7464-5574-4FB3-91E6-D95E8383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itaHTML">
    <w:name w:val="HTML Cite"/>
    <w:basedOn w:val="Fuentedeprrafopredeter"/>
    <w:rPr>
      <w:iCs/>
    </w:rPr>
  </w:style>
  <w:style w:type="character" w:styleId="CdigoHTML">
    <w:name w:val="HTML Code"/>
    <w:basedOn w:val="Fuentedeprrafopredeter"/>
    <w:rPr>
      <w:rFonts w:ascii="Monaco" w:eastAsia="Monaco" w:hAnsi="Monaco" w:cs="Monaco"/>
      <w:color w:val="C7254E"/>
      <w:sz w:val="21"/>
      <w:szCs w:val="21"/>
      <w:bdr w:val="none" w:sz="0" w:space="0" w:color="auto"/>
      <w:shd w:val="clear" w:color="auto" w:fill="F9F2F4"/>
    </w:rPr>
  </w:style>
  <w:style w:type="character" w:styleId="DefinicinHTML">
    <w:name w:val="HTML Definition"/>
    <w:basedOn w:val="Fuentedeprrafopredeter"/>
    <w:rPr>
      <w:i/>
      <w:iCs/>
    </w:rPr>
  </w:style>
  <w:style w:type="character" w:styleId="TecladoHTML">
    <w:name w:val="HTML Keyboard"/>
    <w:basedOn w:val="Fuentedeprrafopredeter"/>
    <w:rPr>
      <w:rFonts w:ascii="monospace" w:eastAsia="monospace" w:hAnsi="monospace" w:cs="monospace" w:hint="default"/>
      <w:sz w:val="21"/>
      <w:szCs w:val="21"/>
    </w:rPr>
  </w:style>
  <w:style w:type="character" w:styleId="EjemplodeHTML">
    <w:name w:val="HTML Sample"/>
    <w:basedOn w:val="Fuentedeprrafopredeter"/>
    <w:rPr>
      <w:rFonts w:ascii="monospace" w:eastAsia="monospace" w:hAnsi="monospace" w:cs="monospace"/>
      <w:sz w:val="21"/>
      <w:szCs w:val="21"/>
      <w:u w:val="none"/>
    </w:rPr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customStyle="1" w:styleId="CalendarText">
    <w:name w:val="CalendarText"/>
    <w:basedOn w:val="Normal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qFormat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Pr>
      <w:rFonts w:ascii="Arial Narrow" w:hAnsi="Arial Narrow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qFormat/>
    <w:rPr>
      <w:rFonts w:ascii="Arial Narrow" w:hAnsi="Arial Narrow"/>
      <w:color w:val="000000"/>
      <w:sz w:val="16"/>
    </w:rPr>
  </w:style>
  <w:style w:type="character" w:customStyle="1" w:styleId="ab-icon2">
    <w:name w:val="ab-icon2"/>
  </w:style>
  <w:style w:type="character" w:customStyle="1" w:styleId="before14">
    <w:name w:val="before14"/>
  </w:style>
  <w:style w:type="character" w:customStyle="1" w:styleId="tx-animate2">
    <w:name w:val="tx-animate2"/>
  </w:style>
  <w:style w:type="character" w:customStyle="1" w:styleId="onsale">
    <w:name w:val="onsale"/>
    <w:rPr>
      <w:b/>
      <w:caps/>
      <w:color w:val="FFFFFF"/>
      <w:sz w:val="13"/>
      <w:szCs w:val="13"/>
      <w:bdr w:val="none" w:sz="0" w:space="0" w:color="auto"/>
    </w:rPr>
  </w:style>
  <w:style w:type="character" w:customStyle="1" w:styleId="onsale1">
    <w:name w:val="onsale1"/>
    <w:rPr>
      <w:b/>
      <w:caps/>
      <w:color w:val="FFFFFF"/>
      <w:sz w:val="13"/>
      <w:szCs w:val="13"/>
      <w:bdr w:val="none" w:sz="0" w:space="0" w:color="auto"/>
    </w:rPr>
  </w:style>
  <w:style w:type="character" w:customStyle="1" w:styleId="onsale2">
    <w:name w:val="onsale2"/>
    <w:rPr>
      <w:b/>
      <w:caps/>
      <w:color w:val="FFFFFF"/>
      <w:sz w:val="13"/>
      <w:szCs w:val="13"/>
      <w:bdr w:val="none" w:sz="0" w:space="0" w:color="auto"/>
    </w:rPr>
  </w:style>
  <w:style w:type="character" w:customStyle="1" w:styleId="help">
    <w:name w:val="help"/>
    <w:rPr>
      <w:color w:val="777777"/>
      <w:sz w:val="13"/>
      <w:szCs w:val="13"/>
    </w:rPr>
  </w:style>
  <w:style w:type="character" w:customStyle="1" w:styleId="help1">
    <w:name w:val="help1"/>
    <w:rPr>
      <w:color w:val="777777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eocaltiche.gob.m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rana0</dc:creator>
  <cp:lastModifiedBy>Usuario</cp:lastModifiedBy>
  <cp:revision>2</cp:revision>
  <dcterms:created xsi:type="dcterms:W3CDTF">2020-02-10T16:35:00Z</dcterms:created>
  <dcterms:modified xsi:type="dcterms:W3CDTF">2020-02-10T16:35:00Z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